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15" w:rsidRPr="00015F7F" w:rsidRDefault="00A52A15" w:rsidP="00A52A15">
      <w:pPr>
        <w:jc w:val="center"/>
        <w:rPr>
          <w:rFonts w:ascii="Cambria" w:hAnsi="Cambria"/>
          <w:b/>
          <w:bCs/>
          <w:color w:val="000000"/>
        </w:rPr>
      </w:pPr>
      <w:bookmarkStart w:id="0" w:name="_GoBack"/>
      <w:bookmarkEnd w:id="0"/>
      <w:r w:rsidRPr="00015F7F">
        <w:rPr>
          <w:rFonts w:ascii="Cambria" w:hAnsi="Cambria"/>
          <w:b/>
          <w:bCs/>
          <w:color w:val="000000"/>
        </w:rPr>
        <w:t>Legislative Branch</w:t>
      </w:r>
      <w:r w:rsidRPr="00015F7F">
        <w:rPr>
          <w:rFonts w:ascii="Cambria" w:hAnsi="Cambria"/>
          <w:b/>
          <w:bCs/>
          <w:color w:val="000000"/>
        </w:rPr>
        <w:br/>
        <w:t>State and Local Legislatures</w:t>
      </w:r>
    </w:p>
    <w:p w:rsidR="00A52A15" w:rsidRPr="00015F7F" w:rsidRDefault="00A52A15" w:rsidP="00A52A15">
      <w:pPr>
        <w:rPr>
          <w:rFonts w:ascii="Cambria" w:hAnsi="Cambria"/>
        </w:rPr>
      </w:pPr>
      <w:r w:rsidRPr="00015F7F">
        <w:rPr>
          <w:rFonts w:ascii="Cambria" w:hAnsi="Cambria"/>
        </w:rPr>
        <w:pict>
          <v:rect id="_x0000_i1025" style="width:0;height:1.5pt" o:hralign="center" o:hrstd="t" o:hr="t" fillcolor="#aca899" stroked="f"/>
        </w:pict>
      </w:r>
    </w:p>
    <w:tbl>
      <w:tblPr>
        <w:tblW w:w="10875" w:type="dxa"/>
        <w:jc w:val="center"/>
        <w:tblCellSpacing w:w="15" w:type="dxa"/>
        <w:tblCellMar>
          <w:top w:w="30" w:type="dxa"/>
          <w:left w:w="30" w:type="dxa"/>
          <w:bottom w:w="30" w:type="dxa"/>
          <w:right w:w="30" w:type="dxa"/>
        </w:tblCellMar>
        <w:tblLook w:val="0000" w:firstRow="0" w:lastRow="0" w:firstColumn="0" w:lastColumn="0" w:noHBand="0" w:noVBand="0"/>
      </w:tblPr>
      <w:tblGrid>
        <w:gridCol w:w="10875"/>
      </w:tblGrid>
      <w:tr w:rsidR="00A52A15" w:rsidRPr="00015F7F">
        <w:trPr>
          <w:tblCellSpacing w:w="15" w:type="dxa"/>
          <w:jc w:val="center"/>
        </w:trPr>
        <w:tc>
          <w:tcPr>
            <w:tcW w:w="0" w:type="auto"/>
            <w:vAlign w:val="center"/>
          </w:tcPr>
          <w:p w:rsidR="00A52A15" w:rsidRPr="00015F7F" w:rsidRDefault="00A52A15">
            <w:pPr>
              <w:pStyle w:val="NormalWeb"/>
              <w:rPr>
                <w:rFonts w:ascii="Cambria" w:hAnsi="Cambria"/>
              </w:rPr>
            </w:pPr>
            <w:r w:rsidRPr="00015F7F">
              <w:rPr>
                <w:rStyle w:val="Strong"/>
                <w:rFonts w:ascii="Cambria" w:hAnsi="Cambria"/>
              </w:rPr>
              <w:t>The Structure and Powers of the Maryland General Assembly</w:t>
            </w:r>
          </w:p>
          <w:p w:rsidR="00A52A15" w:rsidRPr="00015F7F" w:rsidRDefault="00A52A15">
            <w:pPr>
              <w:pStyle w:val="NormalWeb"/>
              <w:rPr>
                <w:rFonts w:ascii="Cambria" w:hAnsi="Cambria"/>
              </w:rPr>
            </w:pPr>
            <w:r w:rsidRPr="00015F7F">
              <w:rPr>
                <w:rFonts w:ascii="Cambria" w:hAnsi="Cambria"/>
              </w:rPr>
              <w:t xml:space="preserve">In this activity, you are going to read about the structure and powers of the state legislative branch, the </w:t>
            </w:r>
            <w:r w:rsidRPr="00015F7F">
              <w:rPr>
                <w:rStyle w:val="Strong"/>
                <w:rFonts w:ascii="Cambria" w:hAnsi="Cambria"/>
              </w:rPr>
              <w:t>Maryland General Assembly.</w:t>
            </w:r>
          </w:p>
          <w:p w:rsidR="00A52A15" w:rsidRPr="00015F7F" w:rsidRDefault="00A52A15">
            <w:pPr>
              <w:pStyle w:val="NormalWeb"/>
              <w:rPr>
                <w:rFonts w:ascii="Cambria" w:hAnsi="Cambria"/>
              </w:rPr>
            </w:pPr>
            <w:r w:rsidRPr="00015F7F">
              <w:rPr>
                <w:rFonts w:ascii="Cambria" w:hAnsi="Cambria"/>
              </w:rPr>
              <w:t xml:space="preserve">The purpose of the </w:t>
            </w:r>
            <w:r w:rsidRPr="00015F7F">
              <w:rPr>
                <w:rStyle w:val="Strong"/>
                <w:rFonts w:ascii="Cambria" w:hAnsi="Cambria"/>
              </w:rPr>
              <w:t>Maryland</w:t>
            </w:r>
            <w:r w:rsidRPr="00015F7F">
              <w:rPr>
                <w:rFonts w:ascii="Cambria" w:hAnsi="Cambria"/>
              </w:rPr>
              <w:t xml:space="preserve"> </w:t>
            </w:r>
            <w:r w:rsidRPr="00015F7F">
              <w:rPr>
                <w:rStyle w:val="Strong"/>
                <w:rFonts w:ascii="Cambria" w:hAnsi="Cambria"/>
              </w:rPr>
              <w:t>General Assembly</w:t>
            </w:r>
            <w:r w:rsidRPr="00015F7F">
              <w:rPr>
                <w:rFonts w:ascii="Cambria" w:hAnsi="Cambria"/>
              </w:rPr>
              <w:t xml:space="preserve">, located in Annapolis, is to </w:t>
            </w:r>
            <w:r w:rsidRPr="00015F7F">
              <w:rPr>
                <w:rFonts w:ascii="Cambria" w:hAnsi="Cambria"/>
                <w:u w:val="single"/>
              </w:rPr>
              <w:t>make laws</w:t>
            </w:r>
            <w:r w:rsidRPr="00015F7F">
              <w:rPr>
                <w:rFonts w:ascii="Cambria" w:hAnsi="Cambria"/>
              </w:rPr>
              <w:t xml:space="preserve"> for Maryland. The </w:t>
            </w:r>
            <w:r w:rsidRPr="00015F7F">
              <w:rPr>
                <w:rStyle w:val="Strong"/>
                <w:rFonts w:ascii="Cambria" w:hAnsi="Cambria"/>
              </w:rPr>
              <w:t xml:space="preserve">General Assembly </w:t>
            </w:r>
            <w:r w:rsidRPr="00015F7F">
              <w:rPr>
                <w:rFonts w:ascii="Cambria" w:hAnsi="Cambria"/>
              </w:rPr>
              <w:t xml:space="preserve">meets for 90 days each year, starting in January, and considers approximately 2,300 bills including the budget for Maryland each session. </w:t>
            </w:r>
          </w:p>
        </w:tc>
      </w:tr>
    </w:tbl>
    <w:p w:rsidR="00A52A15" w:rsidRPr="00015F7F" w:rsidRDefault="00A52A15" w:rsidP="00A52A15">
      <w:pPr>
        <w:rPr>
          <w:rFonts w:ascii="Cambria" w:hAnsi="Cambria"/>
          <w:vanish/>
        </w:rPr>
      </w:pPr>
    </w:p>
    <w:tbl>
      <w:tblPr>
        <w:tblW w:w="11018" w:type="dxa"/>
        <w:jc w:val="center"/>
        <w:tblCellSpacing w:w="15" w:type="dxa"/>
        <w:tblCellMar>
          <w:top w:w="30" w:type="dxa"/>
          <w:left w:w="30" w:type="dxa"/>
          <w:bottom w:w="30" w:type="dxa"/>
          <w:right w:w="30" w:type="dxa"/>
        </w:tblCellMar>
        <w:tblLook w:val="0000" w:firstRow="0" w:lastRow="0" w:firstColumn="0" w:lastColumn="0" w:noHBand="0" w:noVBand="0"/>
      </w:tblPr>
      <w:tblGrid>
        <w:gridCol w:w="3004"/>
        <w:gridCol w:w="8014"/>
      </w:tblGrid>
      <w:tr w:rsidR="00A52A15" w:rsidRPr="00015F7F" w:rsidTr="00015F7F">
        <w:trPr>
          <w:tblCellSpacing w:w="15" w:type="dxa"/>
          <w:jc w:val="center"/>
        </w:trPr>
        <w:tc>
          <w:tcPr>
            <w:tcW w:w="2959" w:type="dxa"/>
            <w:vAlign w:val="center"/>
          </w:tcPr>
          <w:p w:rsidR="00A52A15" w:rsidRPr="00015F7F" w:rsidRDefault="00C83A0A">
            <w:pPr>
              <w:pStyle w:val="NormalWeb"/>
              <w:jc w:val="center"/>
              <w:rPr>
                <w:rFonts w:ascii="Cambria" w:hAnsi="Cambria"/>
              </w:rPr>
            </w:pPr>
            <w:r w:rsidRPr="00015F7F">
              <w:rPr>
                <w:rFonts w:ascii="Cambria" w:hAnsi="Cambria"/>
                <w:noProof/>
                <w:lang w:eastAsia="zh-CN"/>
              </w:rPr>
              <w:drawing>
                <wp:inline distT="0" distB="0" distL="0" distR="0">
                  <wp:extent cx="1409700" cy="2305050"/>
                  <wp:effectExtent l="0" t="0" r="0" b="0"/>
                  <wp:docPr id="3" name="Picture 3" descr="Maryland state capito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yland state capitol bui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2305050"/>
                          </a:xfrm>
                          <a:prstGeom prst="rect">
                            <a:avLst/>
                          </a:prstGeom>
                          <a:noFill/>
                          <a:ln>
                            <a:noFill/>
                          </a:ln>
                        </pic:spPr>
                      </pic:pic>
                    </a:graphicData>
                  </a:graphic>
                </wp:inline>
              </w:drawing>
            </w:r>
          </w:p>
        </w:tc>
        <w:tc>
          <w:tcPr>
            <w:tcW w:w="7969" w:type="dxa"/>
            <w:vAlign w:val="center"/>
          </w:tcPr>
          <w:p w:rsidR="00A52A15" w:rsidRPr="00015F7F" w:rsidRDefault="00A52A15">
            <w:pPr>
              <w:pStyle w:val="NormalWeb"/>
              <w:rPr>
                <w:rFonts w:ascii="Cambria" w:hAnsi="Cambria"/>
              </w:rPr>
            </w:pPr>
            <w:r w:rsidRPr="00015F7F">
              <w:rPr>
                <w:rFonts w:ascii="Cambria" w:hAnsi="Cambria"/>
                <w:u w:val="single"/>
              </w:rPr>
              <w:t>Structure of the Maryland General Assembly</w:t>
            </w:r>
          </w:p>
          <w:p w:rsidR="00A52A15" w:rsidRPr="00015F7F" w:rsidRDefault="00A52A15" w:rsidP="002026F5">
            <w:pPr>
              <w:pStyle w:val="NormalWeb"/>
              <w:rPr>
                <w:rFonts w:ascii="Cambria" w:hAnsi="Cambria"/>
              </w:rPr>
            </w:pPr>
            <w:r w:rsidRPr="00015F7F">
              <w:rPr>
                <w:rFonts w:ascii="Cambria" w:hAnsi="Cambria"/>
              </w:rPr>
              <w:t xml:space="preserve">The </w:t>
            </w:r>
            <w:r w:rsidRPr="00015F7F">
              <w:rPr>
                <w:rStyle w:val="Strong"/>
                <w:rFonts w:ascii="Cambria" w:hAnsi="Cambria"/>
              </w:rPr>
              <w:t>Maryland General Assembly</w:t>
            </w:r>
            <w:r w:rsidRPr="00015F7F">
              <w:rPr>
                <w:rFonts w:ascii="Cambria" w:hAnsi="Cambria"/>
              </w:rPr>
              <w:t> consists of two separate bodies - the State Senate and the House of Delegates. The General Assembly has 188 members, wi</w:t>
            </w:r>
            <w:r w:rsidR="002026F5" w:rsidRPr="00015F7F">
              <w:rPr>
                <w:rFonts w:ascii="Cambria" w:hAnsi="Cambria"/>
              </w:rPr>
              <w:t xml:space="preserve">th 47 senators and 141 delegates.  </w:t>
            </w:r>
            <w:r w:rsidRPr="00015F7F">
              <w:rPr>
                <w:rFonts w:ascii="Cambria" w:hAnsi="Cambria"/>
              </w:rPr>
              <w:t xml:space="preserve">Delegates and Senators are elected from the 47 districts in Maryland. </w:t>
            </w:r>
          </w:p>
          <w:p w:rsidR="00A52A15" w:rsidRPr="00015F7F" w:rsidRDefault="00A52A15">
            <w:pPr>
              <w:pStyle w:val="NormalWeb"/>
              <w:rPr>
                <w:rFonts w:ascii="Cambria" w:hAnsi="Cambria"/>
              </w:rPr>
            </w:pPr>
            <w:r w:rsidRPr="00015F7F">
              <w:rPr>
                <w:rFonts w:ascii="Cambria" w:hAnsi="Cambria"/>
              </w:rPr>
              <w:t xml:space="preserve">Each body of the </w:t>
            </w:r>
            <w:r w:rsidRPr="00015F7F">
              <w:rPr>
                <w:rStyle w:val="Strong"/>
                <w:rFonts w:ascii="Cambria" w:hAnsi="Cambria"/>
              </w:rPr>
              <w:t>Maryland General Assembly</w:t>
            </w:r>
            <w:r w:rsidRPr="00015F7F">
              <w:rPr>
                <w:rFonts w:ascii="Cambria" w:hAnsi="Cambria"/>
              </w:rPr>
              <w:t xml:space="preserve"> has a leader selected by its members. The President of the Senate and Speaker of the House are chosen on the first day of the session. They appoint members to committees and run the daily activities in their respective houses.</w:t>
            </w:r>
          </w:p>
        </w:tc>
      </w:tr>
    </w:tbl>
    <w:p w:rsidR="00A52A15" w:rsidRPr="00015F7F" w:rsidRDefault="00A52A15" w:rsidP="00A52A15">
      <w:pPr>
        <w:rPr>
          <w:rFonts w:ascii="Cambria" w:hAnsi="Cambria"/>
          <w:vanish/>
        </w:rPr>
      </w:pPr>
    </w:p>
    <w:tbl>
      <w:tblPr>
        <w:tblW w:w="10624" w:type="dxa"/>
        <w:jc w:val="center"/>
        <w:tblCellSpacing w:w="7" w:type="dxa"/>
        <w:tblCellMar>
          <w:top w:w="15" w:type="dxa"/>
          <w:left w:w="15" w:type="dxa"/>
          <w:bottom w:w="15" w:type="dxa"/>
          <w:right w:w="15" w:type="dxa"/>
        </w:tblCellMar>
        <w:tblLook w:val="0000" w:firstRow="0" w:lastRow="0" w:firstColumn="0" w:lastColumn="0" w:noHBand="0" w:noVBand="0"/>
      </w:tblPr>
      <w:tblGrid>
        <w:gridCol w:w="10624"/>
      </w:tblGrid>
      <w:tr w:rsidR="00015F7F" w:rsidRPr="00015F7F" w:rsidTr="00015F7F">
        <w:trPr>
          <w:trHeight w:val="321"/>
          <w:tblCellSpacing w:w="7" w:type="dxa"/>
          <w:jc w:val="center"/>
        </w:trPr>
        <w:tc>
          <w:tcPr>
            <w:tcW w:w="10596" w:type="dxa"/>
            <w:shd w:val="clear" w:color="auto" w:fill="FDF9D7"/>
            <w:vAlign w:val="center"/>
          </w:tcPr>
          <w:p w:rsidR="00015F7F" w:rsidRPr="00015F7F" w:rsidRDefault="00015F7F" w:rsidP="00015F7F">
            <w:pPr>
              <w:pStyle w:val="NormalWeb"/>
              <w:jc w:val="center"/>
              <w:rPr>
                <w:rFonts w:ascii="Cambria" w:hAnsi="Cambria"/>
                <w:b/>
                <w:bCs/>
              </w:rPr>
            </w:pPr>
            <w:r w:rsidRPr="00015F7F">
              <w:rPr>
                <w:rFonts w:ascii="Cambria" w:hAnsi="Cambria"/>
                <w:b/>
                <w:bCs/>
              </w:rPr>
              <w:t>Describe the structure of the Maryland General Assembly below in your own words.</w:t>
            </w:r>
          </w:p>
        </w:tc>
      </w:tr>
    </w:tbl>
    <w:p w:rsidR="00A52A15" w:rsidRPr="00015F7F" w:rsidRDefault="00A52A15" w:rsidP="00A52A15">
      <w:pPr>
        <w:rPr>
          <w:rFonts w:ascii="Cambria" w:hAnsi="Cambria"/>
          <w:vanish/>
        </w:rPr>
      </w:pPr>
    </w:p>
    <w:tbl>
      <w:tblPr>
        <w:tblW w:w="10854" w:type="dxa"/>
        <w:tblCellSpacing w:w="30" w:type="dxa"/>
        <w:tblInd w:w="-994" w:type="dxa"/>
        <w:tblBorders>
          <w:top w:val="outset" w:sz="6" w:space="0" w:color="auto"/>
          <w:left w:val="outset" w:sz="6" w:space="0" w:color="auto"/>
          <w:bottom w:val="outset" w:sz="6" w:space="0" w:color="auto"/>
          <w:right w:val="outset" w:sz="6" w:space="0" w:color="auto"/>
        </w:tblBorders>
        <w:shd w:val="clear" w:color="auto" w:fill="F4FFFF"/>
        <w:tblCellMar>
          <w:top w:w="60" w:type="dxa"/>
          <w:left w:w="60" w:type="dxa"/>
          <w:bottom w:w="60" w:type="dxa"/>
          <w:right w:w="60" w:type="dxa"/>
        </w:tblCellMar>
        <w:tblLook w:val="0000" w:firstRow="0" w:lastRow="0" w:firstColumn="0" w:lastColumn="0" w:noHBand="0" w:noVBand="0"/>
      </w:tblPr>
      <w:tblGrid>
        <w:gridCol w:w="10854"/>
      </w:tblGrid>
      <w:tr w:rsidR="002026F5" w:rsidTr="00015F7F">
        <w:trPr>
          <w:trHeight w:val="1607"/>
          <w:tblCellSpacing w:w="30" w:type="dxa"/>
        </w:trPr>
        <w:tc>
          <w:tcPr>
            <w:tcW w:w="10734" w:type="dxa"/>
            <w:tcBorders>
              <w:top w:val="outset" w:sz="6" w:space="0" w:color="auto"/>
              <w:left w:val="outset" w:sz="6" w:space="0" w:color="auto"/>
              <w:right w:val="outset" w:sz="6" w:space="0" w:color="auto"/>
            </w:tcBorders>
            <w:shd w:val="clear" w:color="auto" w:fill="F4FFFF"/>
            <w:vAlign w:val="center"/>
          </w:tcPr>
          <w:p w:rsidR="002026F5" w:rsidRDefault="002026F5">
            <w:pPr>
              <w:rPr>
                <w:rFonts w:ascii="Verdana" w:hAnsi="Verdana"/>
                <w:sz w:val="20"/>
                <w:szCs w:val="20"/>
              </w:rPr>
            </w:pPr>
          </w:p>
          <w:p w:rsidR="00015F7F" w:rsidRDefault="00015F7F">
            <w:pPr>
              <w:rPr>
                <w:rFonts w:ascii="Verdana" w:hAnsi="Verdana"/>
                <w:sz w:val="20"/>
                <w:szCs w:val="20"/>
              </w:rPr>
            </w:pPr>
          </w:p>
          <w:p w:rsidR="00015F7F" w:rsidRDefault="00015F7F">
            <w:pPr>
              <w:rPr>
                <w:rFonts w:ascii="Verdana" w:hAnsi="Verdana"/>
                <w:sz w:val="20"/>
                <w:szCs w:val="20"/>
              </w:rPr>
            </w:pPr>
          </w:p>
          <w:p w:rsidR="00015F7F" w:rsidRDefault="00015F7F">
            <w:pPr>
              <w:rPr>
                <w:rFonts w:ascii="Verdana" w:hAnsi="Verdana"/>
                <w:sz w:val="20"/>
                <w:szCs w:val="20"/>
              </w:rPr>
            </w:pPr>
          </w:p>
          <w:p w:rsidR="00015F7F" w:rsidRDefault="00015F7F">
            <w:pPr>
              <w:rPr>
                <w:rFonts w:ascii="Verdana" w:hAnsi="Verdana"/>
                <w:sz w:val="20"/>
                <w:szCs w:val="20"/>
              </w:rPr>
            </w:pPr>
          </w:p>
          <w:p w:rsidR="00015F7F" w:rsidRDefault="00015F7F">
            <w:pPr>
              <w:rPr>
                <w:rFonts w:ascii="Verdana" w:hAnsi="Verdana"/>
                <w:sz w:val="20"/>
                <w:szCs w:val="20"/>
              </w:rPr>
            </w:pPr>
          </w:p>
          <w:p w:rsidR="00015F7F" w:rsidRDefault="00015F7F">
            <w:pPr>
              <w:rPr>
                <w:rFonts w:ascii="Verdana" w:hAnsi="Verdana"/>
                <w:sz w:val="20"/>
                <w:szCs w:val="20"/>
              </w:rPr>
            </w:pPr>
          </w:p>
        </w:tc>
      </w:tr>
    </w:tbl>
    <w:p w:rsidR="00A52A15" w:rsidRDefault="00A52A15" w:rsidP="00A52A15">
      <w:pPr>
        <w:rPr>
          <w:vanish/>
        </w:rPr>
      </w:pPr>
    </w:p>
    <w:tbl>
      <w:tblPr>
        <w:tblW w:w="10906" w:type="dxa"/>
        <w:jc w:val="center"/>
        <w:tblCellSpacing w:w="15" w:type="dxa"/>
        <w:tblCellMar>
          <w:top w:w="30" w:type="dxa"/>
          <w:left w:w="30" w:type="dxa"/>
          <w:bottom w:w="30" w:type="dxa"/>
          <w:right w:w="30" w:type="dxa"/>
        </w:tblCellMar>
        <w:tblLook w:val="0000" w:firstRow="0" w:lastRow="0" w:firstColumn="0" w:lastColumn="0" w:noHBand="0" w:noVBand="0"/>
      </w:tblPr>
      <w:tblGrid>
        <w:gridCol w:w="236"/>
        <w:gridCol w:w="1403"/>
        <w:gridCol w:w="1807"/>
        <w:gridCol w:w="7369"/>
        <w:gridCol w:w="91"/>
      </w:tblGrid>
      <w:tr w:rsidR="00A52A15" w:rsidTr="005A187D">
        <w:trPr>
          <w:gridAfter w:val="1"/>
          <w:tblCellSpacing w:w="15" w:type="dxa"/>
          <w:jc w:val="center"/>
        </w:trPr>
        <w:tc>
          <w:tcPr>
            <w:tcW w:w="2959" w:type="dxa"/>
            <w:gridSpan w:val="3"/>
            <w:vAlign w:val="center"/>
          </w:tcPr>
          <w:p w:rsidR="00A52A15" w:rsidRDefault="00C83A0A">
            <w:pPr>
              <w:pStyle w:val="NormalWeb"/>
              <w:jc w:val="center"/>
              <w:rPr>
                <w:rFonts w:ascii="Verdana" w:hAnsi="Verdana"/>
                <w:sz w:val="20"/>
                <w:szCs w:val="20"/>
              </w:rPr>
            </w:pPr>
            <w:r>
              <w:rPr>
                <w:rFonts w:ascii="Verdana" w:hAnsi="Verdana"/>
                <w:noProof/>
                <w:sz w:val="20"/>
                <w:szCs w:val="20"/>
                <w:lang w:eastAsia="zh-CN"/>
              </w:rPr>
              <w:drawing>
                <wp:inline distT="0" distB="0" distL="0" distR="0">
                  <wp:extent cx="1190625" cy="1809750"/>
                  <wp:effectExtent l="0" t="0" r="9525" b="0"/>
                  <wp:docPr id="4" name="Picture 4" descr="Image of 2 heads, light bulb as idea, document as Bill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2 heads, light bulb as idea, document as Bill 6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809750"/>
                          </a:xfrm>
                          <a:prstGeom prst="rect">
                            <a:avLst/>
                          </a:prstGeom>
                          <a:noFill/>
                          <a:ln>
                            <a:noFill/>
                          </a:ln>
                        </pic:spPr>
                      </pic:pic>
                    </a:graphicData>
                  </a:graphic>
                </wp:inline>
              </w:drawing>
            </w:r>
          </w:p>
          <w:p w:rsidR="00A52A15" w:rsidRPr="00D941C4" w:rsidRDefault="00A52A15" w:rsidP="005A187D">
            <w:pPr>
              <w:pStyle w:val="copyright"/>
              <w:rPr>
                <w:sz w:val="12"/>
                <w:szCs w:val="12"/>
                <w:lang w:val="fr-FR"/>
              </w:rPr>
            </w:pPr>
            <w:r w:rsidRPr="00D941C4">
              <w:rPr>
                <w:sz w:val="12"/>
                <w:szCs w:val="12"/>
                <w:lang w:val="fr-FR"/>
              </w:rPr>
              <w:t>Source: www.legis.state.pa.us</w:t>
            </w:r>
          </w:p>
        </w:tc>
        <w:tc>
          <w:tcPr>
            <w:tcW w:w="7841" w:type="dxa"/>
            <w:vAlign w:val="center"/>
          </w:tcPr>
          <w:p w:rsidR="00A52A15" w:rsidRPr="00015F7F" w:rsidRDefault="00A52A15">
            <w:pPr>
              <w:pStyle w:val="NormalWeb"/>
              <w:rPr>
                <w:rFonts w:ascii="Cambria" w:hAnsi="Cambria"/>
              </w:rPr>
            </w:pPr>
            <w:r w:rsidRPr="00015F7F">
              <w:rPr>
                <w:rFonts w:ascii="Cambria" w:hAnsi="Cambria"/>
                <w:b/>
                <w:bCs/>
              </w:rPr>
              <w:t>Powers of the Maryland General Assembly</w:t>
            </w:r>
          </w:p>
          <w:p w:rsidR="00A52A15" w:rsidRPr="00015F7F" w:rsidRDefault="00A52A15" w:rsidP="005A187D">
            <w:pPr>
              <w:pStyle w:val="NormalWeb"/>
              <w:rPr>
                <w:rFonts w:ascii="Cambria" w:hAnsi="Cambria"/>
              </w:rPr>
            </w:pPr>
            <w:r w:rsidRPr="00015F7F">
              <w:rPr>
                <w:rFonts w:ascii="Cambria" w:hAnsi="Cambria"/>
              </w:rPr>
              <w:t xml:space="preserve">The main responsibility of the </w:t>
            </w:r>
            <w:r w:rsidRPr="00015F7F">
              <w:rPr>
                <w:rStyle w:val="Strong"/>
                <w:rFonts w:ascii="Cambria" w:hAnsi="Cambria"/>
              </w:rPr>
              <w:t xml:space="preserve">Maryland General Assembly </w:t>
            </w:r>
            <w:r w:rsidRPr="00015F7F">
              <w:rPr>
                <w:rFonts w:ascii="Cambria" w:hAnsi="Cambria"/>
              </w:rPr>
              <w:t xml:space="preserve">is to make and pass laws. The </w:t>
            </w:r>
            <w:r w:rsidRPr="00015F7F">
              <w:rPr>
                <w:rStyle w:val="Strong"/>
                <w:rFonts w:ascii="Cambria" w:hAnsi="Cambria"/>
              </w:rPr>
              <w:t xml:space="preserve">General Assembly </w:t>
            </w:r>
            <w:r w:rsidRPr="00015F7F">
              <w:rPr>
                <w:rFonts w:ascii="Cambria" w:hAnsi="Cambria"/>
              </w:rPr>
              <w:t xml:space="preserve">also </w:t>
            </w:r>
            <w:r w:rsidR="005A187D">
              <w:rPr>
                <w:rFonts w:ascii="Cambria" w:hAnsi="Cambria"/>
              </w:rPr>
              <w:t>has some other specific powers:</w:t>
            </w:r>
          </w:p>
          <w:p w:rsidR="00A52A15" w:rsidRPr="00015F7F" w:rsidRDefault="00A52A15" w:rsidP="005A187D">
            <w:pPr>
              <w:numPr>
                <w:ilvl w:val="0"/>
                <w:numId w:val="1"/>
              </w:numPr>
              <w:tabs>
                <w:tab w:val="clear" w:pos="720"/>
                <w:tab w:val="num" w:pos="360"/>
              </w:tabs>
              <w:spacing w:before="100" w:beforeAutospacing="1" w:after="100" w:afterAutospacing="1"/>
              <w:ind w:left="72" w:firstLine="0"/>
              <w:rPr>
                <w:rFonts w:ascii="Cambria" w:hAnsi="Cambria"/>
              </w:rPr>
            </w:pPr>
            <w:r w:rsidRPr="00015F7F">
              <w:rPr>
                <w:rFonts w:ascii="Cambria" w:hAnsi="Cambria"/>
              </w:rPr>
              <w:t xml:space="preserve">The General Assembly approves the State's budget submitted by the Governor. The General Assembly has the final say on funds spent in the state. </w:t>
            </w:r>
          </w:p>
          <w:p w:rsidR="00A52A15" w:rsidRPr="00015F7F" w:rsidRDefault="00A52A15" w:rsidP="005A187D">
            <w:pPr>
              <w:numPr>
                <w:ilvl w:val="0"/>
                <w:numId w:val="1"/>
              </w:numPr>
              <w:spacing w:before="100" w:beforeAutospacing="1" w:after="100" w:afterAutospacing="1"/>
              <w:ind w:left="72" w:firstLine="0"/>
              <w:rPr>
                <w:rFonts w:ascii="Cambria" w:hAnsi="Cambria"/>
              </w:rPr>
            </w:pPr>
            <w:r w:rsidRPr="00015F7F">
              <w:rPr>
                <w:rFonts w:ascii="Cambria" w:hAnsi="Cambria"/>
              </w:rPr>
              <w:t xml:space="preserve">The General Assembly may choose to levy (collect) taxes. </w:t>
            </w:r>
          </w:p>
          <w:p w:rsidR="00A52A15" w:rsidRPr="00015F7F" w:rsidRDefault="00A52A15" w:rsidP="005A187D">
            <w:pPr>
              <w:numPr>
                <w:ilvl w:val="0"/>
                <w:numId w:val="1"/>
              </w:numPr>
              <w:spacing w:before="100" w:beforeAutospacing="1" w:after="100" w:afterAutospacing="1"/>
              <w:ind w:left="72" w:firstLine="0"/>
              <w:rPr>
                <w:rFonts w:ascii="Cambria" w:hAnsi="Cambria"/>
              </w:rPr>
            </w:pPr>
            <w:r w:rsidRPr="00015F7F">
              <w:rPr>
                <w:rFonts w:ascii="Cambria" w:hAnsi="Cambria"/>
              </w:rPr>
              <w:t xml:space="preserve">If an elected official has acted illegally, the House of Delegates may impeach the elected official and the Senate will hold the trial. </w:t>
            </w:r>
          </w:p>
          <w:p w:rsidR="00A52A15" w:rsidRPr="00A52A15" w:rsidRDefault="00A52A15" w:rsidP="005A187D">
            <w:pPr>
              <w:numPr>
                <w:ilvl w:val="0"/>
                <w:numId w:val="1"/>
              </w:numPr>
              <w:spacing w:before="100" w:beforeAutospacing="1" w:after="100" w:afterAutospacing="1"/>
              <w:ind w:left="72" w:firstLine="0"/>
              <w:rPr>
                <w:rFonts w:ascii="Verdana" w:hAnsi="Verdana"/>
                <w:sz w:val="20"/>
                <w:szCs w:val="20"/>
              </w:rPr>
            </w:pPr>
            <w:r w:rsidRPr="00015F7F">
              <w:rPr>
                <w:rFonts w:ascii="Cambria" w:hAnsi="Cambria"/>
              </w:rPr>
              <w:t>The Maryland Senate approves appointments made by the Governor.</w:t>
            </w:r>
            <w:r>
              <w:t xml:space="preserve"> </w:t>
            </w:r>
          </w:p>
        </w:tc>
      </w:tr>
      <w:tr w:rsidR="00A52A15" w:rsidTr="005A187D">
        <w:trPr>
          <w:gridAfter w:val="1"/>
          <w:tblCellSpacing w:w="15" w:type="dxa"/>
          <w:jc w:val="center"/>
        </w:trPr>
        <w:tc>
          <w:tcPr>
            <w:tcW w:w="2959" w:type="dxa"/>
            <w:gridSpan w:val="3"/>
            <w:vAlign w:val="center"/>
          </w:tcPr>
          <w:p w:rsidR="00A52A15" w:rsidRDefault="00C83A0A">
            <w:pPr>
              <w:pStyle w:val="NormalWeb"/>
              <w:jc w:val="center"/>
              <w:rPr>
                <w:rFonts w:ascii="Verdana" w:hAnsi="Verdana"/>
                <w:sz w:val="20"/>
                <w:szCs w:val="20"/>
              </w:rPr>
            </w:pPr>
            <w:r>
              <w:rPr>
                <w:rFonts w:ascii="Verdana" w:hAnsi="Verdana"/>
                <w:noProof/>
                <w:sz w:val="20"/>
                <w:szCs w:val="20"/>
                <w:lang w:eastAsia="zh-CN"/>
              </w:rPr>
              <w:lastRenderedPageBreak/>
              <w:drawing>
                <wp:inline distT="0" distB="0" distL="0" distR="0">
                  <wp:extent cx="1743075" cy="1285875"/>
                  <wp:effectExtent l="0" t="0" r="9525" b="9525"/>
                  <wp:docPr id="5" name="Picture 5" descr="image of a driver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a driver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285875"/>
                          </a:xfrm>
                          <a:prstGeom prst="rect">
                            <a:avLst/>
                          </a:prstGeom>
                          <a:noFill/>
                          <a:ln>
                            <a:noFill/>
                          </a:ln>
                        </pic:spPr>
                      </pic:pic>
                    </a:graphicData>
                  </a:graphic>
                </wp:inline>
              </w:drawing>
            </w:r>
          </w:p>
          <w:p w:rsidR="00A52A15" w:rsidRDefault="00C83A0A">
            <w:pPr>
              <w:pStyle w:val="NormalWeb"/>
              <w:jc w:val="center"/>
              <w:rPr>
                <w:rFonts w:ascii="Verdana" w:hAnsi="Verdana"/>
                <w:sz w:val="20"/>
                <w:szCs w:val="20"/>
              </w:rPr>
            </w:pPr>
            <w:r>
              <w:rPr>
                <w:rFonts w:ascii="Verdana" w:hAnsi="Verdana"/>
                <w:noProof/>
                <w:sz w:val="20"/>
                <w:szCs w:val="20"/>
                <w:lang w:eastAsia="zh-CN"/>
              </w:rPr>
              <w:drawing>
                <wp:inline distT="0" distB="0" distL="0" distR="0">
                  <wp:extent cx="1333500" cy="971550"/>
                  <wp:effectExtent l="0" t="0" r="0" b="0"/>
                  <wp:docPr id="6" name="Picture 6" descr="image of a hig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a highw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71550"/>
                          </a:xfrm>
                          <a:prstGeom prst="rect">
                            <a:avLst/>
                          </a:prstGeom>
                          <a:noFill/>
                          <a:ln>
                            <a:noFill/>
                          </a:ln>
                        </pic:spPr>
                      </pic:pic>
                    </a:graphicData>
                  </a:graphic>
                </wp:inline>
              </w:drawing>
            </w:r>
          </w:p>
        </w:tc>
        <w:tc>
          <w:tcPr>
            <w:tcW w:w="7841" w:type="dxa"/>
            <w:vAlign w:val="center"/>
          </w:tcPr>
          <w:p w:rsidR="00A52A15" w:rsidRPr="00015F7F" w:rsidRDefault="00A52A15">
            <w:pPr>
              <w:pStyle w:val="NormalWeb"/>
              <w:rPr>
                <w:rFonts w:ascii="Cambria" w:hAnsi="Cambria"/>
              </w:rPr>
            </w:pPr>
            <w:r w:rsidRPr="00015F7F">
              <w:rPr>
                <w:rFonts w:ascii="Cambria" w:hAnsi="Cambria"/>
              </w:rPr>
              <w:t>The real difference in lawmaking between Congress</w:t>
            </w:r>
            <w:r w:rsidR="002026F5" w:rsidRPr="00015F7F">
              <w:rPr>
                <w:rFonts w:ascii="Cambria" w:hAnsi="Cambria"/>
              </w:rPr>
              <w:t xml:space="preserve"> (Federal Legislative Branch)</w:t>
            </w:r>
            <w:r w:rsidRPr="00015F7F">
              <w:rPr>
                <w:rFonts w:ascii="Cambria" w:hAnsi="Cambria"/>
              </w:rPr>
              <w:t xml:space="preserve"> and the General Assembly is the </w:t>
            </w:r>
            <w:r w:rsidRPr="00015F7F">
              <w:rPr>
                <w:rFonts w:ascii="Cambria" w:hAnsi="Cambria"/>
                <w:u w:val="single"/>
              </w:rPr>
              <w:t>type of laws</w:t>
            </w:r>
            <w:r w:rsidRPr="00015F7F">
              <w:rPr>
                <w:rFonts w:ascii="Cambria" w:hAnsi="Cambria"/>
              </w:rPr>
              <w:t xml:space="preserve"> that each passes. While Congress passes laws </w:t>
            </w:r>
            <w:r w:rsidR="002026F5" w:rsidRPr="00015F7F">
              <w:rPr>
                <w:rFonts w:ascii="Cambria" w:hAnsi="Cambria"/>
              </w:rPr>
              <w:t xml:space="preserve">at the Federal Level </w:t>
            </w:r>
            <w:r w:rsidRPr="00015F7F">
              <w:rPr>
                <w:rFonts w:ascii="Cambria" w:hAnsi="Cambria"/>
              </w:rPr>
              <w:t xml:space="preserve">for the United States, the General Assembly passes laws </w:t>
            </w:r>
            <w:r w:rsidR="002026F5" w:rsidRPr="00015F7F">
              <w:rPr>
                <w:rFonts w:ascii="Cambria" w:hAnsi="Cambria"/>
              </w:rPr>
              <w:t>at the State Level</w:t>
            </w:r>
            <w:r w:rsidR="00BC4396" w:rsidRPr="00015F7F">
              <w:rPr>
                <w:rFonts w:ascii="Cambria" w:hAnsi="Cambria"/>
              </w:rPr>
              <w:t xml:space="preserve"> </w:t>
            </w:r>
            <w:r w:rsidRPr="00015F7F">
              <w:rPr>
                <w:rFonts w:ascii="Cambria" w:hAnsi="Cambria"/>
              </w:rPr>
              <w:t>for the state of Maryland.</w:t>
            </w:r>
          </w:p>
          <w:p w:rsidR="00A52A15" w:rsidRPr="00015F7F" w:rsidRDefault="00A52A15">
            <w:pPr>
              <w:pStyle w:val="NormalWeb"/>
              <w:rPr>
                <w:rFonts w:ascii="Cambria" w:hAnsi="Cambria"/>
              </w:rPr>
            </w:pPr>
            <w:r w:rsidRPr="00015F7F">
              <w:rPr>
                <w:rFonts w:ascii="Cambria" w:hAnsi="Cambria"/>
              </w:rPr>
              <w:t>Some examples of Maryland legislation deal with:</w:t>
            </w:r>
          </w:p>
          <w:p w:rsidR="00A52A15" w:rsidRPr="00015F7F" w:rsidRDefault="00A52A15" w:rsidP="00015F7F">
            <w:pPr>
              <w:numPr>
                <w:ilvl w:val="0"/>
                <w:numId w:val="4"/>
              </w:numPr>
              <w:spacing w:before="100" w:beforeAutospacing="1" w:after="100" w:afterAutospacing="1"/>
              <w:rPr>
                <w:rFonts w:ascii="Cambria" w:hAnsi="Cambria"/>
              </w:rPr>
            </w:pPr>
            <w:r w:rsidRPr="00015F7F">
              <w:rPr>
                <w:rFonts w:ascii="Cambria" w:hAnsi="Cambria"/>
              </w:rPr>
              <w:t xml:space="preserve">Maryland driver's license requirements </w:t>
            </w:r>
          </w:p>
          <w:p w:rsidR="00A52A15" w:rsidRPr="00015F7F" w:rsidRDefault="00A52A15" w:rsidP="00015F7F">
            <w:pPr>
              <w:numPr>
                <w:ilvl w:val="0"/>
                <w:numId w:val="4"/>
              </w:numPr>
              <w:spacing w:before="100" w:beforeAutospacing="1" w:after="100" w:afterAutospacing="1"/>
              <w:rPr>
                <w:rFonts w:ascii="Cambria" w:hAnsi="Cambria"/>
              </w:rPr>
            </w:pPr>
            <w:r w:rsidRPr="00015F7F">
              <w:rPr>
                <w:rFonts w:ascii="Cambria" w:hAnsi="Cambria"/>
              </w:rPr>
              <w:t xml:space="preserve">The Chesapeake Bay and its habitat </w:t>
            </w:r>
          </w:p>
          <w:p w:rsidR="00A52A15" w:rsidRPr="00015F7F" w:rsidRDefault="00A52A15" w:rsidP="00015F7F">
            <w:pPr>
              <w:numPr>
                <w:ilvl w:val="0"/>
                <w:numId w:val="4"/>
              </w:numPr>
              <w:spacing w:before="100" w:beforeAutospacing="1" w:after="100" w:afterAutospacing="1"/>
              <w:rPr>
                <w:rFonts w:ascii="Cambria" w:hAnsi="Cambria"/>
              </w:rPr>
            </w:pPr>
            <w:r w:rsidRPr="00015F7F">
              <w:rPr>
                <w:rFonts w:ascii="Cambria" w:hAnsi="Cambria"/>
              </w:rPr>
              <w:t xml:space="preserve">Highway construction across the state </w:t>
            </w:r>
          </w:p>
          <w:p w:rsidR="00A52A15" w:rsidRPr="00015F7F" w:rsidRDefault="00A52A15" w:rsidP="00015F7F">
            <w:pPr>
              <w:numPr>
                <w:ilvl w:val="0"/>
                <w:numId w:val="4"/>
              </w:numPr>
              <w:spacing w:before="100" w:beforeAutospacing="1" w:after="100" w:afterAutospacing="1"/>
              <w:rPr>
                <w:rFonts w:ascii="Cambria" w:hAnsi="Cambria"/>
              </w:rPr>
            </w:pPr>
            <w:r w:rsidRPr="00015F7F">
              <w:rPr>
                <w:rFonts w:ascii="Cambria" w:hAnsi="Cambria"/>
              </w:rPr>
              <w:t xml:space="preserve">Universities and community colleges in Maryland </w:t>
            </w:r>
          </w:p>
          <w:p w:rsidR="00A52A15" w:rsidRPr="00015F7F" w:rsidRDefault="00A52A15" w:rsidP="00015F7F">
            <w:pPr>
              <w:numPr>
                <w:ilvl w:val="0"/>
                <w:numId w:val="4"/>
              </w:numPr>
              <w:spacing w:before="100" w:beforeAutospacing="1" w:after="100" w:afterAutospacing="1"/>
              <w:rPr>
                <w:rFonts w:ascii="Cambria" w:hAnsi="Cambria"/>
              </w:rPr>
            </w:pPr>
            <w:r w:rsidRPr="00015F7F">
              <w:rPr>
                <w:rFonts w:ascii="Cambria" w:hAnsi="Cambria"/>
              </w:rPr>
              <w:t xml:space="preserve">Marriage in Maryland </w:t>
            </w:r>
          </w:p>
          <w:p w:rsidR="00A52A15" w:rsidRPr="00015F7F" w:rsidRDefault="00A52A15" w:rsidP="00015F7F">
            <w:pPr>
              <w:numPr>
                <w:ilvl w:val="0"/>
                <w:numId w:val="4"/>
              </w:numPr>
              <w:spacing w:before="100" w:beforeAutospacing="1" w:after="100" w:afterAutospacing="1"/>
              <w:rPr>
                <w:rFonts w:ascii="Cambria" w:hAnsi="Cambria"/>
              </w:rPr>
            </w:pPr>
            <w:r w:rsidRPr="00015F7F">
              <w:rPr>
                <w:rFonts w:ascii="Cambria" w:hAnsi="Cambria"/>
              </w:rPr>
              <w:t xml:space="preserve">Funding of public schools </w:t>
            </w:r>
          </w:p>
          <w:p w:rsidR="00A52A15" w:rsidRPr="00A52A15" w:rsidRDefault="00A52A15" w:rsidP="00015F7F">
            <w:pPr>
              <w:numPr>
                <w:ilvl w:val="0"/>
                <w:numId w:val="4"/>
              </w:numPr>
              <w:spacing w:before="100" w:beforeAutospacing="1" w:after="100" w:afterAutospacing="1"/>
              <w:rPr>
                <w:rFonts w:ascii="Verdana" w:hAnsi="Verdana"/>
                <w:sz w:val="20"/>
                <w:szCs w:val="20"/>
              </w:rPr>
            </w:pPr>
            <w:r w:rsidRPr="00015F7F">
              <w:rPr>
                <w:rFonts w:ascii="Cambria" w:hAnsi="Cambria"/>
              </w:rPr>
              <w:t xml:space="preserve">Land use and preservation in Maryland </w:t>
            </w:r>
          </w:p>
        </w:tc>
      </w:tr>
      <w:tr w:rsidR="00A52A15" w:rsidTr="005A187D">
        <w:tblPrEx>
          <w:tblCellSpacing w:w="7" w:type="dxa"/>
          <w:tblCellMar>
            <w:top w:w="15" w:type="dxa"/>
            <w:left w:w="15" w:type="dxa"/>
            <w:bottom w:w="15" w:type="dxa"/>
            <w:right w:w="15" w:type="dxa"/>
          </w:tblCellMar>
        </w:tblPrEx>
        <w:trPr>
          <w:gridBefore w:val="1"/>
          <w:tblCellSpacing w:w="7" w:type="dxa"/>
          <w:jc w:val="center"/>
        </w:trPr>
        <w:tc>
          <w:tcPr>
            <w:tcW w:w="0" w:type="auto"/>
            <w:gridSpan w:val="4"/>
            <w:vAlign w:val="center"/>
          </w:tcPr>
          <w:p w:rsidR="00A52A15" w:rsidRPr="00015F7F" w:rsidRDefault="00A52A15">
            <w:pPr>
              <w:rPr>
                <w:rFonts w:ascii="Cambria" w:hAnsi="Cambria"/>
              </w:rPr>
            </w:pPr>
            <w:r w:rsidRPr="00015F7F">
              <w:rPr>
                <w:rFonts w:ascii="Cambria" w:hAnsi="Cambria"/>
              </w:rPr>
              <w:pict>
                <v:rect id="_x0000_i1026" style="width:0;height:1.5pt" o:hralign="center" o:hrstd="t" o:hr="t" fillcolor="#aca899" stroked="f"/>
              </w:pict>
            </w:r>
          </w:p>
          <w:p w:rsidR="00A52A15" w:rsidRPr="00015F7F" w:rsidRDefault="00A52A15">
            <w:pPr>
              <w:rPr>
                <w:rFonts w:ascii="Cambria" w:hAnsi="Cambria"/>
              </w:rPr>
            </w:pPr>
            <w:r w:rsidRPr="00015F7F">
              <w:rPr>
                <w:rFonts w:ascii="Cambria" w:hAnsi="Cambria"/>
              </w:rPr>
              <w:t> </w:t>
            </w:r>
          </w:p>
        </w:tc>
      </w:tr>
      <w:tr w:rsidR="00A52A15" w:rsidTr="005A187D">
        <w:tblPrEx>
          <w:tblCellSpacing w:w="7" w:type="dxa"/>
          <w:tblCellMar>
            <w:top w:w="15" w:type="dxa"/>
            <w:left w:w="15" w:type="dxa"/>
            <w:bottom w:w="15" w:type="dxa"/>
            <w:right w:w="15" w:type="dxa"/>
          </w:tblCellMar>
        </w:tblPrEx>
        <w:trPr>
          <w:gridBefore w:val="1"/>
          <w:tblCellSpacing w:w="7" w:type="dxa"/>
          <w:jc w:val="center"/>
        </w:trPr>
        <w:tc>
          <w:tcPr>
            <w:tcW w:w="0" w:type="auto"/>
            <w:vAlign w:val="center"/>
          </w:tcPr>
          <w:p w:rsidR="00A52A15" w:rsidRPr="00015F7F" w:rsidRDefault="00A52A15">
            <w:pPr>
              <w:pStyle w:val="NormalWeb"/>
              <w:rPr>
                <w:rFonts w:ascii="Cambria" w:hAnsi="Cambria"/>
              </w:rPr>
            </w:pPr>
          </w:p>
        </w:tc>
        <w:tc>
          <w:tcPr>
            <w:tcW w:w="0" w:type="auto"/>
            <w:gridSpan w:val="3"/>
            <w:vAlign w:val="center"/>
          </w:tcPr>
          <w:p w:rsidR="00A52A15" w:rsidRPr="00015F7F" w:rsidRDefault="00A52A15" w:rsidP="00015F7F">
            <w:pPr>
              <w:pStyle w:val="NormalWeb"/>
              <w:rPr>
                <w:rFonts w:ascii="Cambria" w:hAnsi="Cambria"/>
              </w:rPr>
            </w:pPr>
            <w:r w:rsidRPr="00015F7F">
              <w:rPr>
                <w:rFonts w:ascii="Cambria" w:hAnsi="Cambria"/>
              </w:rPr>
              <w:t xml:space="preserve">Now that you have read the information about the Maryland General Assembly, read the statements below. Decide whether the action is the responsibility of the U.S Congress or the Maryland General Assembly and </w:t>
            </w:r>
            <w:r w:rsidR="00015F7F" w:rsidRPr="00015F7F">
              <w:rPr>
                <w:rFonts w:ascii="Cambria" w:hAnsi="Cambria"/>
              </w:rPr>
              <w:t>circle your answer below each statement.</w:t>
            </w:r>
            <w:r w:rsidR="00BC4396" w:rsidRPr="00015F7F">
              <w:rPr>
                <w:rFonts w:ascii="Cambria" w:hAnsi="Cambria"/>
              </w:rPr>
              <w:t xml:space="preserve">  </w:t>
            </w:r>
            <w:r w:rsidRPr="00015F7F">
              <w:rPr>
                <w:rFonts w:ascii="Cambria" w:hAnsi="Cambria"/>
              </w:rPr>
              <w:t xml:space="preserve"> </w:t>
            </w:r>
          </w:p>
          <w:tbl>
            <w:tblPr>
              <w:tblW w:w="7919" w:type="dxa"/>
              <w:jc w:val="center"/>
              <w:tblCellSpacing w:w="7" w:type="dxa"/>
              <w:tblBorders>
                <w:top w:val="outset" w:sz="6" w:space="0" w:color="auto"/>
                <w:left w:val="outset" w:sz="6" w:space="0" w:color="auto"/>
                <w:bottom w:val="outset" w:sz="6" w:space="0" w:color="auto"/>
                <w:right w:val="outset" w:sz="6" w:space="0" w:color="auto"/>
              </w:tblBorders>
              <w:shd w:val="clear" w:color="auto" w:fill="F2F2F2"/>
              <w:tblCellMar>
                <w:top w:w="15" w:type="dxa"/>
                <w:left w:w="15" w:type="dxa"/>
                <w:bottom w:w="15" w:type="dxa"/>
                <w:right w:w="15" w:type="dxa"/>
              </w:tblCellMar>
              <w:tblLook w:val="0000" w:firstRow="0" w:lastRow="0" w:firstColumn="0" w:lastColumn="0" w:noHBand="0" w:noVBand="0"/>
            </w:tblPr>
            <w:tblGrid>
              <w:gridCol w:w="7919"/>
            </w:tblGrid>
            <w:tr w:rsidR="00A52A15" w:rsidRPr="00015F7F" w:rsidTr="00015F7F">
              <w:trPr>
                <w:trHeight w:val="778"/>
                <w:tblCellSpacing w:w="7" w:type="dxa"/>
                <w:jc w:val="center"/>
              </w:trPr>
              <w:tc>
                <w:tcPr>
                  <w:tcW w:w="7891" w:type="dxa"/>
                  <w:tcBorders>
                    <w:top w:val="outset" w:sz="6" w:space="0" w:color="auto"/>
                    <w:left w:val="outset" w:sz="6" w:space="0" w:color="auto"/>
                    <w:bottom w:val="outset" w:sz="6" w:space="0" w:color="auto"/>
                    <w:right w:val="outset" w:sz="6" w:space="0" w:color="auto"/>
                  </w:tcBorders>
                  <w:shd w:val="clear" w:color="auto" w:fill="F2F2F2"/>
                  <w:vAlign w:val="center"/>
                </w:tcPr>
                <w:p w:rsidR="00A52A15" w:rsidRPr="00015F7F" w:rsidRDefault="00BC4396" w:rsidP="00BC4396">
                  <w:pPr>
                    <w:numPr>
                      <w:ilvl w:val="0"/>
                      <w:numId w:val="3"/>
                    </w:numPr>
                    <w:jc w:val="both"/>
                    <w:rPr>
                      <w:rFonts w:ascii="Cambria" w:hAnsi="Cambria"/>
                    </w:rPr>
                  </w:pPr>
                  <w:r w:rsidRPr="00015F7F">
                    <w:rPr>
                      <w:rFonts w:ascii="Cambria" w:hAnsi="Cambria"/>
                    </w:rPr>
                    <w:t xml:space="preserve"> </w:t>
                  </w:r>
                  <w:r w:rsidR="00A52A15" w:rsidRPr="00015F7F">
                    <w:rPr>
                      <w:rFonts w:ascii="Cambria" w:hAnsi="Cambria"/>
                    </w:rPr>
                    <w:t>Bill passes both houses that increases funding for the military.</w:t>
                  </w:r>
                </w:p>
                <w:p w:rsidR="00015F7F" w:rsidRPr="00015F7F" w:rsidRDefault="00015F7F" w:rsidP="00015F7F">
                  <w:pPr>
                    <w:jc w:val="both"/>
                    <w:rPr>
                      <w:rFonts w:ascii="Cambria" w:hAnsi="Cambria"/>
                    </w:rPr>
                  </w:pPr>
                </w:p>
              </w:tc>
            </w:tr>
            <w:tr w:rsidR="00015F7F" w:rsidRPr="00015F7F">
              <w:trPr>
                <w:tblCellSpacing w:w="7" w:type="dxa"/>
                <w:jc w:val="center"/>
              </w:trPr>
              <w:tc>
                <w:tcPr>
                  <w:tcW w:w="7891" w:type="dxa"/>
                  <w:tcBorders>
                    <w:top w:val="outset" w:sz="6" w:space="0" w:color="auto"/>
                    <w:left w:val="outset" w:sz="6" w:space="0" w:color="auto"/>
                    <w:bottom w:val="outset" w:sz="6" w:space="0" w:color="auto"/>
                    <w:right w:val="outset" w:sz="6" w:space="0" w:color="auto"/>
                  </w:tcBorders>
                  <w:shd w:val="clear" w:color="auto" w:fill="F2F2F2"/>
                  <w:vAlign w:val="center"/>
                </w:tcPr>
                <w:p w:rsidR="00015F7F" w:rsidRPr="00015F7F" w:rsidRDefault="00015F7F" w:rsidP="00015F7F">
                  <w:pPr>
                    <w:jc w:val="both"/>
                    <w:rPr>
                      <w:rFonts w:ascii="Cambria" w:hAnsi="Cambria"/>
                      <w:b/>
                      <w:bCs/>
                    </w:rPr>
                  </w:pPr>
                  <w:r w:rsidRPr="00015F7F">
                    <w:rPr>
                      <w:rFonts w:ascii="Cambria" w:hAnsi="Cambria"/>
                      <w:b/>
                      <w:bCs/>
                    </w:rPr>
                    <w:t xml:space="preserve">       U.S. Congress                               Maryland General Assembly </w:t>
                  </w:r>
                </w:p>
              </w:tc>
            </w:tr>
          </w:tbl>
          <w:p w:rsidR="00A52A15" w:rsidRPr="00015F7F" w:rsidRDefault="00A52A15" w:rsidP="00A52A15">
            <w:pPr>
              <w:pStyle w:val="NormalWeb"/>
              <w:spacing w:before="0" w:beforeAutospacing="0" w:after="0" w:afterAutospacing="0"/>
              <w:jc w:val="both"/>
              <w:rPr>
                <w:rFonts w:ascii="Cambria" w:hAnsi="Cambria"/>
                <w:vanish/>
              </w:rPr>
            </w:pPr>
          </w:p>
          <w:tbl>
            <w:tblPr>
              <w:tblW w:w="7944" w:type="dxa"/>
              <w:jc w:val="center"/>
              <w:tblCellSpacing w:w="7" w:type="dxa"/>
              <w:tblBorders>
                <w:top w:val="outset" w:sz="6" w:space="0" w:color="auto"/>
                <w:left w:val="outset" w:sz="6" w:space="0" w:color="auto"/>
                <w:bottom w:val="outset" w:sz="6" w:space="0" w:color="auto"/>
                <w:right w:val="outset" w:sz="6" w:space="0" w:color="auto"/>
              </w:tblBorders>
              <w:shd w:val="clear" w:color="auto" w:fill="F2F2F2"/>
              <w:tblCellMar>
                <w:top w:w="15" w:type="dxa"/>
                <w:left w:w="15" w:type="dxa"/>
                <w:bottom w:w="15" w:type="dxa"/>
                <w:right w:w="15" w:type="dxa"/>
              </w:tblCellMar>
              <w:tblLook w:val="0000" w:firstRow="0" w:lastRow="0" w:firstColumn="0" w:lastColumn="0" w:noHBand="0" w:noVBand="0"/>
            </w:tblPr>
            <w:tblGrid>
              <w:gridCol w:w="7944"/>
            </w:tblGrid>
            <w:tr w:rsidR="00A52A15" w:rsidRPr="00015F7F">
              <w:trPr>
                <w:tblCellSpacing w:w="7" w:type="dxa"/>
                <w:jc w:val="center"/>
              </w:trPr>
              <w:tc>
                <w:tcPr>
                  <w:tcW w:w="7916" w:type="dxa"/>
                  <w:tcBorders>
                    <w:top w:val="outset" w:sz="6" w:space="0" w:color="auto"/>
                    <w:left w:val="outset" w:sz="6" w:space="0" w:color="auto"/>
                    <w:bottom w:val="outset" w:sz="6" w:space="0" w:color="auto"/>
                    <w:right w:val="outset" w:sz="6" w:space="0" w:color="auto"/>
                  </w:tcBorders>
                  <w:shd w:val="clear" w:color="auto" w:fill="F2F2F2"/>
                  <w:vAlign w:val="center"/>
                </w:tcPr>
                <w:p w:rsidR="00015F7F" w:rsidRPr="00015F7F" w:rsidRDefault="00015F7F" w:rsidP="00015F7F">
                  <w:pPr>
                    <w:ind w:left="720"/>
                    <w:jc w:val="both"/>
                    <w:rPr>
                      <w:rFonts w:ascii="Cambria" w:hAnsi="Cambria"/>
                    </w:rPr>
                  </w:pPr>
                </w:p>
                <w:p w:rsidR="00A52A15" w:rsidRPr="00015F7F" w:rsidRDefault="00BC4396" w:rsidP="00BC4396">
                  <w:pPr>
                    <w:numPr>
                      <w:ilvl w:val="0"/>
                      <w:numId w:val="3"/>
                    </w:numPr>
                    <w:jc w:val="both"/>
                    <w:rPr>
                      <w:rFonts w:ascii="Cambria" w:hAnsi="Cambria"/>
                    </w:rPr>
                  </w:pPr>
                  <w:r w:rsidRPr="00015F7F">
                    <w:rPr>
                      <w:rFonts w:ascii="Cambria" w:hAnsi="Cambria"/>
                    </w:rPr>
                    <w:t xml:space="preserve"> </w:t>
                  </w:r>
                  <w:r w:rsidR="00A52A15" w:rsidRPr="00015F7F">
                    <w:rPr>
                      <w:rFonts w:ascii="Cambria" w:hAnsi="Cambria"/>
                    </w:rPr>
                    <w:t xml:space="preserve">New </w:t>
                  </w:r>
                  <w:r w:rsidRPr="00015F7F">
                    <w:rPr>
                      <w:rFonts w:ascii="Cambria" w:hAnsi="Cambria"/>
                    </w:rPr>
                    <w:t>driver’s</w:t>
                  </w:r>
                  <w:r w:rsidR="00A52A15" w:rsidRPr="00015F7F">
                    <w:rPr>
                      <w:rFonts w:ascii="Cambria" w:hAnsi="Cambria"/>
                    </w:rPr>
                    <w:t xml:space="preserve"> license requirements are announced.</w:t>
                  </w:r>
                </w:p>
                <w:p w:rsidR="00015F7F" w:rsidRPr="00015F7F" w:rsidRDefault="00015F7F" w:rsidP="00015F7F">
                  <w:pPr>
                    <w:jc w:val="both"/>
                    <w:rPr>
                      <w:rFonts w:ascii="Cambria" w:hAnsi="Cambria"/>
                    </w:rPr>
                  </w:pPr>
                </w:p>
                <w:p w:rsidR="00015F7F" w:rsidRPr="00015F7F" w:rsidRDefault="00015F7F" w:rsidP="00015F7F">
                  <w:pPr>
                    <w:jc w:val="both"/>
                    <w:rPr>
                      <w:rFonts w:ascii="Cambria" w:hAnsi="Cambria"/>
                    </w:rPr>
                  </w:pPr>
                </w:p>
                <w:p w:rsidR="00015F7F" w:rsidRPr="00015F7F" w:rsidRDefault="00015F7F" w:rsidP="00015F7F">
                  <w:pPr>
                    <w:jc w:val="both"/>
                    <w:rPr>
                      <w:rFonts w:ascii="Cambria" w:hAnsi="Cambria"/>
                    </w:rPr>
                  </w:pPr>
                  <w:r w:rsidRPr="00015F7F">
                    <w:rPr>
                      <w:rFonts w:ascii="Cambria" w:hAnsi="Cambria"/>
                      <w:b/>
                      <w:bCs/>
                    </w:rPr>
                    <w:t xml:space="preserve">       U.S. Congress                               Maryland General Assembly</w:t>
                  </w:r>
                </w:p>
              </w:tc>
            </w:tr>
          </w:tbl>
          <w:p w:rsidR="00A52A15" w:rsidRPr="00015F7F" w:rsidRDefault="00A52A15" w:rsidP="00A52A15">
            <w:pPr>
              <w:pStyle w:val="NormalWeb"/>
              <w:spacing w:before="0" w:beforeAutospacing="0" w:after="0" w:afterAutospacing="0"/>
              <w:jc w:val="both"/>
              <w:rPr>
                <w:rFonts w:ascii="Cambria" w:hAnsi="Cambria"/>
                <w:vanish/>
              </w:rPr>
            </w:pPr>
          </w:p>
          <w:tbl>
            <w:tblPr>
              <w:tblW w:w="7933" w:type="dxa"/>
              <w:jc w:val="center"/>
              <w:tblCellSpacing w:w="7" w:type="dxa"/>
              <w:tblBorders>
                <w:top w:val="outset" w:sz="6" w:space="0" w:color="auto"/>
                <w:left w:val="outset" w:sz="6" w:space="0" w:color="auto"/>
                <w:bottom w:val="outset" w:sz="6" w:space="0" w:color="auto"/>
                <w:right w:val="outset" w:sz="6" w:space="0" w:color="auto"/>
              </w:tblBorders>
              <w:shd w:val="clear" w:color="auto" w:fill="F2F2F2"/>
              <w:tblCellMar>
                <w:top w:w="15" w:type="dxa"/>
                <w:left w:w="15" w:type="dxa"/>
                <w:bottom w:w="15" w:type="dxa"/>
                <w:right w:w="15" w:type="dxa"/>
              </w:tblCellMar>
              <w:tblLook w:val="0000" w:firstRow="0" w:lastRow="0" w:firstColumn="0" w:lastColumn="0" w:noHBand="0" w:noVBand="0"/>
            </w:tblPr>
            <w:tblGrid>
              <w:gridCol w:w="7933"/>
            </w:tblGrid>
            <w:tr w:rsidR="00A52A15" w:rsidRPr="00015F7F">
              <w:trPr>
                <w:tblCellSpacing w:w="7" w:type="dxa"/>
                <w:jc w:val="center"/>
              </w:trPr>
              <w:tc>
                <w:tcPr>
                  <w:tcW w:w="7905" w:type="dxa"/>
                  <w:tcBorders>
                    <w:top w:val="outset" w:sz="6" w:space="0" w:color="auto"/>
                    <w:left w:val="outset" w:sz="6" w:space="0" w:color="auto"/>
                    <w:bottom w:val="outset" w:sz="6" w:space="0" w:color="auto"/>
                    <w:right w:val="outset" w:sz="6" w:space="0" w:color="auto"/>
                  </w:tcBorders>
                  <w:shd w:val="clear" w:color="auto" w:fill="F2F2F2"/>
                  <w:vAlign w:val="center"/>
                </w:tcPr>
                <w:p w:rsidR="00015F7F" w:rsidRPr="00015F7F" w:rsidRDefault="00015F7F" w:rsidP="00015F7F">
                  <w:pPr>
                    <w:ind w:left="720"/>
                    <w:jc w:val="both"/>
                    <w:rPr>
                      <w:rFonts w:ascii="Cambria" w:hAnsi="Cambria"/>
                    </w:rPr>
                  </w:pPr>
                </w:p>
                <w:p w:rsidR="00A52A15" w:rsidRPr="00015F7F" w:rsidRDefault="00BC4396" w:rsidP="00BC4396">
                  <w:pPr>
                    <w:numPr>
                      <w:ilvl w:val="0"/>
                      <w:numId w:val="3"/>
                    </w:numPr>
                    <w:jc w:val="both"/>
                    <w:rPr>
                      <w:rFonts w:ascii="Cambria" w:hAnsi="Cambria"/>
                    </w:rPr>
                  </w:pPr>
                  <w:r w:rsidRPr="00015F7F">
                    <w:rPr>
                      <w:rFonts w:ascii="Cambria" w:hAnsi="Cambria"/>
                    </w:rPr>
                    <w:t xml:space="preserve"> </w:t>
                  </w:r>
                  <w:r w:rsidR="00A52A15" w:rsidRPr="00015F7F">
                    <w:rPr>
                      <w:rFonts w:ascii="Cambria" w:hAnsi="Cambria"/>
                    </w:rPr>
                    <w:t>Residents must pay a new water and sewer tax.</w:t>
                  </w:r>
                </w:p>
                <w:p w:rsidR="00015F7F" w:rsidRPr="00015F7F" w:rsidRDefault="00015F7F" w:rsidP="00015F7F">
                  <w:pPr>
                    <w:ind w:left="720"/>
                    <w:jc w:val="both"/>
                    <w:rPr>
                      <w:rFonts w:ascii="Cambria" w:hAnsi="Cambria"/>
                    </w:rPr>
                  </w:pPr>
                </w:p>
                <w:p w:rsidR="00015F7F" w:rsidRPr="00015F7F" w:rsidRDefault="00015F7F" w:rsidP="00015F7F">
                  <w:pPr>
                    <w:jc w:val="both"/>
                    <w:rPr>
                      <w:rFonts w:ascii="Cambria" w:hAnsi="Cambria"/>
                      <w:b/>
                      <w:bCs/>
                    </w:rPr>
                  </w:pPr>
                </w:p>
                <w:p w:rsidR="00015F7F" w:rsidRPr="00015F7F" w:rsidRDefault="00015F7F" w:rsidP="00015F7F">
                  <w:pPr>
                    <w:jc w:val="both"/>
                    <w:rPr>
                      <w:rFonts w:ascii="Cambria" w:hAnsi="Cambria"/>
                      <w:b/>
                      <w:bCs/>
                    </w:rPr>
                  </w:pPr>
                  <w:r w:rsidRPr="00015F7F">
                    <w:rPr>
                      <w:rFonts w:ascii="Cambria" w:hAnsi="Cambria"/>
                      <w:b/>
                      <w:bCs/>
                    </w:rPr>
                    <w:t xml:space="preserve">       U.S. Congress                               Maryland General Assembly</w:t>
                  </w:r>
                </w:p>
              </w:tc>
            </w:tr>
          </w:tbl>
          <w:p w:rsidR="00A52A15" w:rsidRPr="00015F7F" w:rsidRDefault="00A52A15" w:rsidP="00A52A15">
            <w:pPr>
              <w:pStyle w:val="NormalWeb"/>
              <w:spacing w:before="0" w:beforeAutospacing="0" w:after="0" w:afterAutospacing="0"/>
              <w:jc w:val="both"/>
              <w:rPr>
                <w:rFonts w:ascii="Cambria" w:hAnsi="Cambria"/>
                <w:vanish/>
              </w:rPr>
            </w:pPr>
          </w:p>
          <w:tbl>
            <w:tblPr>
              <w:tblW w:w="7933" w:type="dxa"/>
              <w:jc w:val="center"/>
              <w:tblCellSpacing w:w="7" w:type="dxa"/>
              <w:tblBorders>
                <w:top w:val="outset" w:sz="6" w:space="0" w:color="auto"/>
                <w:left w:val="outset" w:sz="6" w:space="0" w:color="auto"/>
                <w:bottom w:val="outset" w:sz="6" w:space="0" w:color="auto"/>
                <w:right w:val="outset" w:sz="6" w:space="0" w:color="auto"/>
              </w:tblBorders>
              <w:shd w:val="clear" w:color="auto" w:fill="F2F2F2"/>
              <w:tblCellMar>
                <w:top w:w="15" w:type="dxa"/>
                <w:left w:w="15" w:type="dxa"/>
                <w:bottom w:w="15" w:type="dxa"/>
                <w:right w:w="15" w:type="dxa"/>
              </w:tblCellMar>
              <w:tblLook w:val="0000" w:firstRow="0" w:lastRow="0" w:firstColumn="0" w:lastColumn="0" w:noHBand="0" w:noVBand="0"/>
            </w:tblPr>
            <w:tblGrid>
              <w:gridCol w:w="7933"/>
            </w:tblGrid>
            <w:tr w:rsidR="00A52A15" w:rsidRPr="00015F7F">
              <w:trPr>
                <w:tblCellSpacing w:w="7" w:type="dxa"/>
                <w:jc w:val="center"/>
              </w:trPr>
              <w:tc>
                <w:tcPr>
                  <w:tcW w:w="7905" w:type="dxa"/>
                  <w:tcBorders>
                    <w:top w:val="outset" w:sz="6" w:space="0" w:color="auto"/>
                    <w:left w:val="outset" w:sz="6" w:space="0" w:color="auto"/>
                    <w:bottom w:val="outset" w:sz="6" w:space="0" w:color="auto"/>
                    <w:right w:val="outset" w:sz="6" w:space="0" w:color="auto"/>
                  </w:tcBorders>
                  <w:shd w:val="clear" w:color="auto" w:fill="F2F2F2"/>
                  <w:vAlign w:val="center"/>
                </w:tcPr>
                <w:p w:rsidR="00015F7F" w:rsidRPr="00015F7F" w:rsidRDefault="00015F7F" w:rsidP="00015F7F">
                  <w:pPr>
                    <w:ind w:left="720"/>
                    <w:jc w:val="both"/>
                    <w:rPr>
                      <w:rFonts w:ascii="Cambria" w:hAnsi="Cambria"/>
                    </w:rPr>
                  </w:pPr>
                </w:p>
                <w:p w:rsidR="00A52A15" w:rsidRPr="00015F7F" w:rsidRDefault="00BC4396" w:rsidP="00BC4396">
                  <w:pPr>
                    <w:numPr>
                      <w:ilvl w:val="0"/>
                      <w:numId w:val="3"/>
                    </w:numPr>
                    <w:jc w:val="both"/>
                    <w:rPr>
                      <w:rFonts w:ascii="Cambria" w:hAnsi="Cambria"/>
                    </w:rPr>
                  </w:pPr>
                  <w:r w:rsidRPr="00015F7F">
                    <w:rPr>
                      <w:rFonts w:ascii="Cambria" w:hAnsi="Cambria"/>
                    </w:rPr>
                    <w:t xml:space="preserve"> </w:t>
                  </w:r>
                  <w:r w:rsidR="00A52A15" w:rsidRPr="00015F7F">
                    <w:rPr>
                      <w:rFonts w:ascii="Cambria" w:hAnsi="Cambria"/>
                    </w:rPr>
                    <w:t>Senate approves new Supreme Court justice.</w:t>
                  </w:r>
                </w:p>
                <w:p w:rsidR="00015F7F" w:rsidRPr="00015F7F" w:rsidRDefault="00015F7F" w:rsidP="00015F7F">
                  <w:pPr>
                    <w:ind w:left="720"/>
                    <w:jc w:val="both"/>
                    <w:rPr>
                      <w:rFonts w:ascii="Cambria" w:hAnsi="Cambria"/>
                    </w:rPr>
                  </w:pPr>
                </w:p>
                <w:p w:rsidR="00015F7F" w:rsidRPr="00015F7F" w:rsidRDefault="00015F7F" w:rsidP="00015F7F">
                  <w:pPr>
                    <w:jc w:val="both"/>
                    <w:rPr>
                      <w:rFonts w:ascii="Cambria" w:hAnsi="Cambria"/>
                    </w:rPr>
                  </w:pPr>
                </w:p>
                <w:p w:rsidR="00015F7F" w:rsidRPr="00015F7F" w:rsidRDefault="00015F7F" w:rsidP="00015F7F">
                  <w:pPr>
                    <w:jc w:val="both"/>
                    <w:rPr>
                      <w:rFonts w:ascii="Cambria" w:hAnsi="Cambria"/>
                    </w:rPr>
                  </w:pPr>
                  <w:r w:rsidRPr="00015F7F">
                    <w:rPr>
                      <w:rFonts w:ascii="Cambria" w:hAnsi="Cambria"/>
                      <w:b/>
                      <w:bCs/>
                    </w:rPr>
                    <w:t xml:space="preserve">       U.S. Congress                               Maryland General Assembly</w:t>
                  </w:r>
                </w:p>
              </w:tc>
            </w:tr>
          </w:tbl>
          <w:p w:rsidR="00A52A15" w:rsidRPr="00015F7F" w:rsidRDefault="00A52A15">
            <w:pPr>
              <w:rPr>
                <w:rFonts w:ascii="Cambria" w:hAnsi="Cambria"/>
              </w:rPr>
            </w:pPr>
          </w:p>
        </w:tc>
      </w:tr>
    </w:tbl>
    <w:p w:rsidR="0018063A" w:rsidRDefault="0018063A" w:rsidP="00A52A15"/>
    <w:sectPr w:rsidR="0018063A" w:rsidSect="005A187D">
      <w:headerReference w:type="default" r:id="rId11"/>
      <w:footerReference w:type="default" r:id="rId1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2A0" w:rsidRDefault="00DA02A0" w:rsidP="002026F5">
      <w:r>
        <w:separator/>
      </w:r>
    </w:p>
  </w:endnote>
  <w:endnote w:type="continuationSeparator" w:id="0">
    <w:p w:rsidR="00DA02A0" w:rsidRDefault="00DA02A0" w:rsidP="0020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F5" w:rsidRDefault="002026F5">
    <w:pPr>
      <w:pStyle w:val="Footer"/>
    </w:pPr>
    <w:r>
      <w:t>Adapted from PGCPS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2A0" w:rsidRDefault="00DA02A0" w:rsidP="002026F5">
      <w:r>
        <w:separator/>
      </w:r>
    </w:p>
  </w:footnote>
  <w:footnote w:type="continuationSeparator" w:id="0">
    <w:p w:rsidR="00DA02A0" w:rsidRDefault="00DA02A0" w:rsidP="00202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7F" w:rsidRDefault="00015F7F">
    <w:pPr>
      <w:pStyle w:val="Header"/>
    </w:pPr>
    <w:r>
      <w:t>Name________________________________</w:t>
    </w:r>
    <w:r>
      <w:tab/>
    </w:r>
    <w:r>
      <w:tab/>
      <w:t>Date__________________________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numPicBullet w:numPicBulletId="3">
    <w:pict>
      <v:shape id="_x0000_i1030" type="#_x0000_t75" style="width:3in;height:3in" o:bullet="t"/>
    </w:pict>
  </w:numPicBullet>
  <w:numPicBullet w:numPicBulletId="4">
    <w:pict>
      <v:shape id="_x0000_i1031" type="#_x0000_t75" style="width:3in;height:3in" o:bullet="t"/>
    </w:pict>
  </w:numPicBullet>
  <w:numPicBullet w:numPicBulletId="5">
    <w:pict>
      <v:shape id="_x0000_i1032" type="#_x0000_t75" style="width:3in;height:3in" o:bullet="t"/>
    </w:pict>
  </w:numPicBullet>
  <w:numPicBullet w:numPicBulletId="6">
    <w:pict>
      <v:shape id="_x0000_i1033" type="#_x0000_t75" style="width:3in;height:3in" o:bullet="t"/>
    </w:pict>
  </w:numPicBullet>
  <w:numPicBullet w:numPicBulletId="7">
    <w:pict>
      <v:shape id="_x0000_i1034" type="#_x0000_t75" style="width:3in;height:3in" o:bullet="t"/>
    </w:pict>
  </w:numPicBullet>
  <w:numPicBullet w:numPicBulletId="8">
    <w:pict>
      <v:shape id="_x0000_i1035" type="#_x0000_t75" style="width:3in;height:3in" o:bullet="t"/>
    </w:pict>
  </w:numPicBullet>
  <w:abstractNum w:abstractNumId="0" w15:restartNumberingAfterBreak="0">
    <w:nsid w:val="02BB5F1A"/>
    <w:multiLevelType w:val="multilevel"/>
    <w:tmpl w:val="6CFC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E2EAB"/>
    <w:multiLevelType w:val="hybridMultilevel"/>
    <w:tmpl w:val="C5BE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D0A27"/>
    <w:multiLevelType w:val="multilevel"/>
    <w:tmpl w:val="733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51990"/>
    <w:multiLevelType w:val="multilevel"/>
    <w:tmpl w:val="D1D4515E"/>
    <w:lvl w:ilvl="0">
      <w:start w:val="1"/>
      <w:numFmt w:val="decimal"/>
      <w:lvlText w:val="%1."/>
      <w:lvlJc w:val="left"/>
      <w:pPr>
        <w:tabs>
          <w:tab w:val="num" w:pos="720"/>
        </w:tabs>
        <w:ind w:left="720" w:hanging="360"/>
      </w:pPr>
      <w:rPr>
        <w:rFonts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15"/>
    <w:rsid w:val="00015F7F"/>
    <w:rsid w:val="0018063A"/>
    <w:rsid w:val="002026F5"/>
    <w:rsid w:val="0045383D"/>
    <w:rsid w:val="005A187D"/>
    <w:rsid w:val="00725987"/>
    <w:rsid w:val="00887A31"/>
    <w:rsid w:val="00A16A9A"/>
    <w:rsid w:val="00A52A15"/>
    <w:rsid w:val="00BC4396"/>
    <w:rsid w:val="00C83A0A"/>
    <w:rsid w:val="00D941C4"/>
    <w:rsid w:val="00DA0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B0649B2-EC9B-418E-BB83-ED9EA285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pyright">
    <w:name w:val="copyright"/>
    <w:basedOn w:val="Normal"/>
    <w:rsid w:val="00A52A15"/>
    <w:pPr>
      <w:spacing w:before="100" w:beforeAutospacing="1" w:after="100" w:afterAutospacing="1"/>
    </w:pPr>
    <w:rPr>
      <w:rFonts w:ascii="Verdana" w:hAnsi="Verdana"/>
      <w:sz w:val="14"/>
      <w:szCs w:val="14"/>
    </w:rPr>
  </w:style>
  <w:style w:type="paragraph" w:styleId="NormalWeb">
    <w:name w:val="Normal (Web)"/>
    <w:basedOn w:val="Normal"/>
    <w:rsid w:val="00A52A15"/>
    <w:pPr>
      <w:spacing w:before="100" w:beforeAutospacing="1" w:after="100" w:afterAutospacing="1"/>
    </w:pPr>
  </w:style>
  <w:style w:type="character" w:styleId="Strong">
    <w:name w:val="Strong"/>
    <w:qFormat/>
    <w:rsid w:val="00A52A15"/>
    <w:rPr>
      <w:b/>
      <w:bCs/>
    </w:rPr>
  </w:style>
  <w:style w:type="character" w:styleId="Hyperlink">
    <w:name w:val="Hyperlink"/>
    <w:rsid w:val="00A52A15"/>
    <w:rPr>
      <w:color w:val="0000FF"/>
      <w:u w:val="single"/>
    </w:rPr>
  </w:style>
  <w:style w:type="paragraph" w:styleId="Header">
    <w:name w:val="header"/>
    <w:basedOn w:val="Normal"/>
    <w:link w:val="HeaderChar"/>
    <w:rsid w:val="002026F5"/>
    <w:pPr>
      <w:tabs>
        <w:tab w:val="center" w:pos="4680"/>
        <w:tab w:val="right" w:pos="9360"/>
      </w:tabs>
    </w:pPr>
  </w:style>
  <w:style w:type="character" w:customStyle="1" w:styleId="HeaderChar">
    <w:name w:val="Header Char"/>
    <w:link w:val="Header"/>
    <w:rsid w:val="002026F5"/>
    <w:rPr>
      <w:sz w:val="24"/>
      <w:szCs w:val="24"/>
      <w:lang w:eastAsia="en-US"/>
    </w:rPr>
  </w:style>
  <w:style w:type="paragraph" w:styleId="Footer">
    <w:name w:val="footer"/>
    <w:basedOn w:val="Normal"/>
    <w:link w:val="FooterChar"/>
    <w:rsid w:val="002026F5"/>
    <w:pPr>
      <w:tabs>
        <w:tab w:val="center" w:pos="4680"/>
        <w:tab w:val="right" w:pos="9360"/>
      </w:tabs>
    </w:pPr>
  </w:style>
  <w:style w:type="character" w:customStyle="1" w:styleId="FooterChar">
    <w:name w:val="Footer Char"/>
    <w:link w:val="Footer"/>
    <w:rsid w:val="002026F5"/>
    <w:rPr>
      <w:sz w:val="24"/>
      <w:szCs w:val="24"/>
      <w:lang w:eastAsia="en-US"/>
    </w:rPr>
  </w:style>
  <w:style w:type="paragraph" w:styleId="BalloonText">
    <w:name w:val="Balloon Text"/>
    <w:basedOn w:val="Normal"/>
    <w:link w:val="BalloonTextChar"/>
    <w:rsid w:val="005A187D"/>
    <w:rPr>
      <w:rFonts w:ascii="Segoe UI" w:hAnsi="Segoe UI" w:cs="Segoe UI"/>
      <w:sz w:val="18"/>
      <w:szCs w:val="18"/>
    </w:rPr>
  </w:style>
  <w:style w:type="character" w:customStyle="1" w:styleId="BalloonTextChar">
    <w:name w:val="Balloon Text Char"/>
    <w:link w:val="BalloonText"/>
    <w:rsid w:val="005A187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1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Legislative Branch</vt:lpstr>
    </vt:vector>
  </TitlesOfParts>
  <Company>PGCPS</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Branch</dc:title>
  <dc:subject/>
  <dc:creator>Amber.Heller</dc:creator>
  <cp:keywords/>
  <cp:lastModifiedBy>SDTC-WS2</cp:lastModifiedBy>
  <cp:revision>2</cp:revision>
  <cp:lastPrinted>2016-02-24T19:31:00Z</cp:lastPrinted>
  <dcterms:created xsi:type="dcterms:W3CDTF">2016-07-25T20:00:00Z</dcterms:created>
  <dcterms:modified xsi:type="dcterms:W3CDTF">2016-07-25T20:00:00Z</dcterms:modified>
</cp:coreProperties>
</file>